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D17D0" w:rsidRPr="001D17D0" w:rsidRDefault="001D17D0" w:rsidP="001D17D0">
      <w:pPr>
        <w:spacing w:line="360" w:lineRule="auto"/>
        <w:ind w:left="2160"/>
        <w:jc w:val="both"/>
        <w:outlineLvl w:val="0"/>
        <w:rPr>
          <w:rFonts w:ascii="Cambria" w:hAnsi="Cambria"/>
          <w:lang w:val="fr-FR"/>
        </w:rPr>
      </w:pPr>
      <w:r w:rsidRPr="001D17D0">
        <w:rPr>
          <w:rFonts w:ascii="Cambria" w:hAnsi="Cambria"/>
          <w:lang w:val="fr-FR"/>
        </w:rPr>
        <w:t xml:space="preserve">   </w:t>
      </w:r>
    </w:p>
    <w:p w:rsidR="001D17D0" w:rsidRPr="001D17D0" w:rsidRDefault="001D17D0" w:rsidP="001D17D0">
      <w:pPr>
        <w:spacing w:line="360" w:lineRule="auto"/>
        <w:ind w:left="2160"/>
        <w:jc w:val="both"/>
        <w:outlineLvl w:val="0"/>
        <w:rPr>
          <w:rFonts w:ascii="Cambria" w:hAnsi="Cambria"/>
          <w:sz w:val="28"/>
          <w:lang w:val="fr-FR"/>
        </w:rPr>
      </w:pPr>
      <w:r w:rsidRPr="001D17D0">
        <w:rPr>
          <w:rFonts w:ascii="Cambria" w:hAnsi="Cambria"/>
          <w:sz w:val="28"/>
          <w:lang w:val="fr-FR"/>
        </w:rPr>
        <w:t xml:space="preserve">              CONSERVATION </w:t>
      </w:r>
    </w:p>
    <w:p w:rsidR="001D17D0" w:rsidRPr="001D17D0" w:rsidRDefault="001D17D0" w:rsidP="001D17D0">
      <w:pPr>
        <w:spacing w:line="360" w:lineRule="auto"/>
        <w:jc w:val="both"/>
        <w:rPr>
          <w:rFonts w:ascii="Cambria" w:hAnsi="Cambria"/>
          <w:lang w:val="fr-FR"/>
        </w:rPr>
      </w:pPr>
      <w:r w:rsidRPr="001D17D0">
        <w:rPr>
          <w:rFonts w:ascii="Cambria" w:hAnsi="Cambria"/>
          <w:lang w:val="fr-FR"/>
        </w:rPr>
        <w:t xml:space="preserve"> </w:t>
      </w:r>
    </w:p>
    <w:p w:rsidR="001D17D0" w:rsidRPr="001D17D0" w:rsidRDefault="001D17D0" w:rsidP="001D17D0">
      <w:pPr>
        <w:spacing w:line="360" w:lineRule="auto"/>
        <w:jc w:val="both"/>
        <w:rPr>
          <w:rFonts w:ascii="Cambria" w:hAnsi="Cambria"/>
          <w:lang w:val="fr-FR"/>
        </w:rPr>
      </w:pPr>
    </w:p>
    <w:p w:rsidR="001D17D0" w:rsidRPr="001D17D0"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rPr>
          <w:rFonts w:ascii="Cambria" w:hAnsi="Cambria"/>
          <w:lang w:val="fr-FR"/>
        </w:rPr>
      </w:pPr>
      <w:r w:rsidRPr="00721DFE">
        <w:rPr>
          <w:rFonts w:ascii="Cambria" w:hAnsi="Cambria"/>
          <w:lang w:val="fr-FR"/>
        </w:rPr>
        <w:t xml:space="preserve">Les probabilités de voir concrétisées en un même objet (un bocal) une œuvre de Diego Velasquez ou d’Andy </w:t>
      </w:r>
      <w:proofErr w:type="spellStart"/>
      <w:r w:rsidRPr="00721DFE">
        <w:rPr>
          <w:rFonts w:ascii="Cambria" w:hAnsi="Cambria"/>
          <w:lang w:val="fr-FR"/>
        </w:rPr>
        <w:t>Wahrol</w:t>
      </w:r>
      <w:proofErr w:type="spellEnd"/>
      <w:r w:rsidRPr="00721DFE">
        <w:rPr>
          <w:rFonts w:ascii="Cambria" w:hAnsi="Cambria"/>
          <w:lang w:val="fr-FR"/>
        </w:rPr>
        <w:t xml:space="preserve"> étaient peu envisageable.</w:t>
      </w:r>
    </w:p>
    <w:p w:rsidR="001D17D0" w:rsidRPr="00721DFE" w:rsidRDefault="001D17D0" w:rsidP="001D17D0">
      <w:pPr>
        <w:spacing w:line="360" w:lineRule="auto"/>
        <w:jc w:val="both"/>
        <w:rPr>
          <w:rFonts w:ascii="Cambria" w:hAnsi="Cambria"/>
          <w:lang w:val="fr-FR"/>
        </w:rPr>
      </w:pPr>
      <w:r>
        <w:rPr>
          <w:rFonts w:ascii="Cambria" w:hAnsi="Cambria"/>
          <w:lang w:val="fr-FR"/>
        </w:rPr>
        <w:t>L</w:t>
      </w:r>
      <w:r w:rsidRPr="00721DFE">
        <w:rPr>
          <w:rFonts w:ascii="Cambria" w:hAnsi="Cambria"/>
          <w:lang w:val="fr-FR"/>
        </w:rPr>
        <w:t>es raisons de les associer n’apparaissaient ni urgentes ni nécessaires sauf si une proposition fusionne en un trait ces données fondatrices, et que l’esprit reprenne ses droits aussi volatiles et décisifs qu’une touche d’aquarelle. L’apparition d’un mot peut engendrer la trivialit</w:t>
      </w:r>
      <w:r>
        <w:rPr>
          <w:rFonts w:ascii="Cambria" w:hAnsi="Cambria"/>
          <w:lang w:val="fr-FR"/>
        </w:rPr>
        <w:t>é</w:t>
      </w:r>
      <w:r w:rsidRPr="00721DFE">
        <w:rPr>
          <w:rFonts w:ascii="Cambria" w:hAnsi="Cambria"/>
          <w:lang w:val="fr-FR"/>
        </w:rPr>
        <w:t xml:space="preserve"> et le rire s’il réunit les Noces de Cana et les petits pois.</w:t>
      </w:r>
    </w:p>
    <w:p w:rsidR="001D17D0" w:rsidRPr="00721DFE" w:rsidRDefault="001D17D0" w:rsidP="001D17D0">
      <w:pPr>
        <w:spacing w:line="360" w:lineRule="auto"/>
        <w:jc w:val="both"/>
        <w:rPr>
          <w:rFonts w:ascii="Cambria" w:hAnsi="Cambria"/>
          <w:lang w:val="fr-FR"/>
        </w:rPr>
      </w:pPr>
      <w:r w:rsidRPr="00721DFE">
        <w:rPr>
          <w:rFonts w:ascii="Cambria" w:hAnsi="Cambria"/>
          <w:lang w:val="fr-FR"/>
        </w:rPr>
        <w:t>Le mot que nous avons choisi est celui de “ CONSERVATION ”, parce que ce terme associe les cimaises des musées et l’étagère de l’épicerie. Le pas entre le mot et l’image est alors si vite franchi qu’il devient une évidence de le rendre visuel par les moyens de la peinture.</w:t>
      </w:r>
    </w:p>
    <w:p w:rsidR="001D17D0" w:rsidRPr="00721DFE"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rPr>
          <w:rFonts w:ascii="Cambria" w:hAnsi="Cambria"/>
          <w:lang w:val="fr-FR"/>
        </w:rPr>
      </w:pPr>
      <w:r w:rsidRPr="00721DFE">
        <w:rPr>
          <w:rFonts w:ascii="Cambria" w:hAnsi="Cambria"/>
          <w:lang w:val="fr-FR"/>
        </w:rPr>
        <w:t>Peindre les mots, bocal, conservation, peinture, par le langage de l’illusion devient notre enjeu. Nous devenons nous-mêmes conservateurs. Les métaphores affluent dans nos pinceaux. Les acteurs surgissent qu’ils viennent du Fayoum ou de Long Island en 1950. Leur histoire n’est plus linéaire, les archives se bousculent dans ces geôles transparentes</w:t>
      </w:r>
      <w:r>
        <w:rPr>
          <w:rFonts w:ascii="Cambria" w:hAnsi="Cambria"/>
          <w:lang w:val="fr-FR"/>
        </w:rPr>
        <w:t xml:space="preserve">. </w:t>
      </w:r>
      <w:r w:rsidRPr="00721DFE">
        <w:rPr>
          <w:rFonts w:ascii="Cambria" w:hAnsi="Cambria"/>
          <w:lang w:val="fr-FR"/>
        </w:rPr>
        <w:t>Et si le choix des œuvres n’est pas exhaustif, il permet le voisinage de telle star qui vient de naitre avec telle autre qui illumine depuis longtemps les cimaises des Offices ou du Louvre.</w:t>
      </w:r>
    </w:p>
    <w:p w:rsidR="001D17D0" w:rsidRPr="00721DFE"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rPr>
          <w:rFonts w:ascii="Cambria" w:hAnsi="Cambria"/>
          <w:lang w:val="fr-FR"/>
        </w:rPr>
      </w:pPr>
      <w:r w:rsidRPr="00721DFE">
        <w:rPr>
          <w:rFonts w:ascii="Cambria" w:hAnsi="Cambria"/>
          <w:lang w:val="fr-FR"/>
        </w:rPr>
        <w:t xml:space="preserve">Pour initier ces archives fictives nous avons alors pris la décision de nous approprier </w:t>
      </w:r>
      <w:r w:rsidRPr="00721DFE">
        <w:rPr>
          <w:rFonts w:ascii="Cambria" w:hAnsi="Cambria"/>
          <w:i/>
          <w:lang w:val="fr-FR"/>
        </w:rPr>
        <w:t xml:space="preserve">toutes </w:t>
      </w:r>
      <w:r w:rsidRPr="00721DFE">
        <w:rPr>
          <w:rFonts w:ascii="Cambria" w:hAnsi="Cambria"/>
          <w:lang w:val="fr-FR"/>
        </w:rPr>
        <w:t xml:space="preserve">les peintures, dessins et autres productions de l’art. Bien sûr, </w:t>
      </w:r>
      <w:r w:rsidRPr="00721DFE">
        <w:rPr>
          <w:rFonts w:ascii="Cambria" w:hAnsi="Cambria"/>
          <w:i/>
          <w:lang w:val="fr-FR"/>
        </w:rPr>
        <w:t>toutes</w:t>
      </w:r>
      <w:r w:rsidRPr="00721DFE">
        <w:rPr>
          <w:rFonts w:ascii="Cambria" w:hAnsi="Cambria"/>
          <w:lang w:val="fr-FR"/>
        </w:rPr>
        <w:t xml:space="preserve"> </w:t>
      </w:r>
      <w:proofErr w:type="gramStart"/>
      <w:r w:rsidRPr="00721DFE">
        <w:rPr>
          <w:rFonts w:ascii="Cambria" w:hAnsi="Cambria"/>
          <w:lang w:val="fr-FR"/>
        </w:rPr>
        <w:t>veut</w:t>
      </w:r>
      <w:proofErr w:type="gramEnd"/>
      <w:r w:rsidRPr="00721DFE">
        <w:rPr>
          <w:rFonts w:ascii="Cambria" w:hAnsi="Cambria"/>
          <w:lang w:val="fr-FR"/>
        </w:rPr>
        <w:t xml:space="preserve"> dire que nous devons puiser dans l’ensemble des œuvres auxquelles nous accordons la plus grande admiration et celles assourdissantes qui viennent par leur célébrité récente se heurter au firmament des étoiles d’aujourd’hui. </w:t>
      </w:r>
    </w:p>
    <w:p w:rsidR="001D17D0" w:rsidRPr="00721DFE" w:rsidRDefault="001D17D0" w:rsidP="001D17D0">
      <w:pPr>
        <w:spacing w:line="360" w:lineRule="auto"/>
        <w:jc w:val="both"/>
        <w:rPr>
          <w:rFonts w:ascii="Cambria" w:hAnsi="Cambria"/>
          <w:lang w:val="fr-FR"/>
        </w:rPr>
      </w:pPr>
      <w:r w:rsidRPr="00721DFE">
        <w:rPr>
          <w:rFonts w:ascii="Cambria" w:hAnsi="Cambria"/>
          <w:lang w:val="fr-FR"/>
        </w:rPr>
        <w:lastRenderedPageBreak/>
        <w:t xml:space="preserve">Un astrophysicien a dit que les thèses, les publications, les observations qui sont actuellement retenues par la communauté scientifique ont autant de chances, pour une partie d’entre elles, d’être pérennes pour un observateur du futur que celles qui s’offrent au typographe qui, jetant son tiroir de caractères les retrouveraient dans un ordre qui recomposerait une tragédie de Shakespeare. </w:t>
      </w:r>
    </w:p>
    <w:p w:rsidR="001D17D0" w:rsidRPr="00721DFE" w:rsidRDefault="001D17D0" w:rsidP="001D17D0">
      <w:pPr>
        <w:spacing w:line="360" w:lineRule="auto"/>
        <w:jc w:val="both"/>
        <w:rPr>
          <w:rFonts w:ascii="Cambria" w:hAnsi="Cambria"/>
          <w:lang w:val="fr-FR"/>
        </w:rPr>
      </w:pPr>
      <w:r w:rsidRPr="00721DFE">
        <w:rPr>
          <w:rFonts w:ascii="Cambria" w:hAnsi="Cambria"/>
          <w:lang w:val="fr-FR"/>
        </w:rPr>
        <w:t>Loin de notre esprit de présumer du futur.</w:t>
      </w:r>
    </w:p>
    <w:p w:rsidR="001D17D0" w:rsidRPr="00721DFE" w:rsidRDefault="001D17D0" w:rsidP="001D17D0">
      <w:pPr>
        <w:spacing w:line="360" w:lineRule="auto"/>
        <w:jc w:val="both"/>
        <w:rPr>
          <w:rFonts w:ascii="Cambria" w:hAnsi="Cambria"/>
          <w:lang w:val="fr-FR"/>
        </w:rPr>
      </w:pPr>
      <w:r w:rsidRPr="00721DFE">
        <w:rPr>
          <w:rFonts w:ascii="Cambria" w:hAnsi="Cambria"/>
          <w:lang w:val="fr-FR"/>
        </w:rPr>
        <w:t>L’ampleur de la t</w:t>
      </w:r>
      <w:r>
        <w:rPr>
          <w:rFonts w:ascii="Cambria" w:hAnsi="Cambria"/>
          <w:lang w:val="fr-FR"/>
        </w:rPr>
        <w:t>â</w:t>
      </w:r>
      <w:r w:rsidRPr="00721DFE">
        <w:rPr>
          <w:rFonts w:ascii="Cambria" w:hAnsi="Cambria"/>
          <w:lang w:val="fr-FR"/>
        </w:rPr>
        <w:t>che nous parait immense. Dans un premier temps, nous avons décidé de compresser les images et il en résulte une dimension des bocaux qui se situe entre 25 et 35cm.</w:t>
      </w:r>
    </w:p>
    <w:p w:rsidR="001D17D0" w:rsidRPr="00721DFE" w:rsidRDefault="001D17D0" w:rsidP="001D17D0">
      <w:pPr>
        <w:spacing w:line="360" w:lineRule="auto"/>
        <w:jc w:val="both"/>
        <w:rPr>
          <w:rFonts w:ascii="Cambria" w:hAnsi="Cambria"/>
          <w:lang w:val="fr-FR"/>
        </w:rPr>
      </w:pPr>
      <w:r w:rsidRPr="00721DFE">
        <w:rPr>
          <w:rFonts w:ascii="Cambria" w:hAnsi="Cambria"/>
          <w:lang w:val="fr-FR"/>
        </w:rPr>
        <w:t xml:space="preserve">A la réalisation de ces mises en bocal – représentation d’une peinture, représentation du bocal, déformation dans l’insertion de l’image sous le verre – s’est ajoutée l’illusion de produire quelque chose qui contiendrait tous les visuels. </w:t>
      </w:r>
    </w:p>
    <w:p w:rsidR="001D17D0" w:rsidRPr="00721DFE" w:rsidRDefault="001D17D0" w:rsidP="001D17D0">
      <w:pPr>
        <w:spacing w:line="360" w:lineRule="auto"/>
        <w:jc w:val="both"/>
        <w:rPr>
          <w:rFonts w:ascii="Cambria" w:hAnsi="Cambria"/>
          <w:lang w:val="fr-FR"/>
        </w:rPr>
      </w:pPr>
      <w:r w:rsidRPr="00721DFE">
        <w:rPr>
          <w:rFonts w:ascii="Cambria" w:hAnsi="Cambria"/>
          <w:lang w:val="fr-FR"/>
        </w:rPr>
        <w:t>La grandeur des œuvres réelles est indiscernable et, réduits à la dimension du cylindre de verre, fresques, peintures et détails acquièrent une nouvelle échelle dans la représentation : celle que l’œil du spectateur lui accorde. La dimension de l’œuvre représentée est simplement une dimension poétique.</w:t>
      </w:r>
    </w:p>
    <w:p w:rsidR="001D17D0" w:rsidRPr="00721DFE"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rPr>
          <w:rFonts w:ascii="Cambria" w:hAnsi="Cambria"/>
          <w:lang w:val="fr-FR"/>
        </w:rPr>
      </w:pPr>
      <w:r w:rsidRPr="00721DFE">
        <w:rPr>
          <w:rFonts w:ascii="Cambria" w:hAnsi="Cambria"/>
          <w:lang w:val="fr-FR"/>
        </w:rPr>
        <w:t xml:space="preserve"> Chaque peinture ainsi figurée n’est pas un pastiche de l’œuvre mais une perception que nous avons de son apparence à travers les reproductions. C’est une expérience visuelle qui fait de nous les témoins du déferlement des images que nous expérimentons aujourd’hui.</w:t>
      </w:r>
    </w:p>
    <w:p w:rsidR="001D17D0" w:rsidRPr="00D97037" w:rsidRDefault="001D17D0" w:rsidP="001D17D0">
      <w:pPr>
        <w:spacing w:line="360" w:lineRule="auto"/>
        <w:jc w:val="both"/>
        <w:rPr>
          <w:rFonts w:ascii="Cambria" w:hAnsi="Cambria"/>
          <w:lang w:val="fr-FR"/>
        </w:rPr>
      </w:pPr>
      <w:r w:rsidRPr="00721DFE">
        <w:rPr>
          <w:rFonts w:ascii="Cambria" w:hAnsi="Cambria"/>
          <w:lang w:val="fr-FR"/>
        </w:rPr>
        <w:t xml:space="preserve">C’est là que nous les reprenons et que nous commençons notre travail d’appropriation et de citation : Mise en place de la peinture dans son bocal et mise en place </w:t>
      </w:r>
      <w:r w:rsidRPr="00D97037">
        <w:rPr>
          <w:rFonts w:ascii="Cambria" w:hAnsi="Cambria"/>
          <w:lang w:val="fr-FR"/>
        </w:rPr>
        <w:t xml:space="preserve">du bocal dans son espace à distance du groupe de ceux qui ont déjà été faits. En les disposant les uns à côté des autres, on provoque en quelque sorte la neutralisation de l’image unique. La présence de l’ensemble peint orchestre le dernier venu et celui-ci affecte les autres. Le solo se place au milieu du chœur. L’introduction de la nouvelle image bouscule l’ordre précédent. Par ces confrontations nous sommes conduits à explorer et à découvrir des permanences, des similitudes, des relations nouvelles qui se mettent </w:t>
      </w:r>
      <w:r>
        <w:rPr>
          <w:rFonts w:ascii="Cambria" w:hAnsi="Cambria"/>
          <w:lang w:val="fr-FR"/>
        </w:rPr>
        <w:t>en place dans ces regroupements</w:t>
      </w:r>
      <w:r w:rsidRPr="00D97037">
        <w:rPr>
          <w:rFonts w:ascii="Cambria" w:hAnsi="Cambria"/>
          <w:lang w:val="fr-FR"/>
        </w:rPr>
        <w:t xml:space="preserve">. En en plaçant deux ou </w:t>
      </w:r>
      <w:proofErr w:type="gramStart"/>
      <w:r w:rsidRPr="00D97037">
        <w:rPr>
          <w:rFonts w:ascii="Cambria" w:hAnsi="Cambria"/>
          <w:lang w:val="fr-FR"/>
        </w:rPr>
        <w:t>trois côte</w:t>
      </w:r>
      <w:proofErr w:type="gramEnd"/>
      <w:r w:rsidRPr="00D97037">
        <w:rPr>
          <w:rFonts w:ascii="Cambria" w:hAnsi="Cambria"/>
          <w:lang w:val="fr-FR"/>
        </w:rPr>
        <w:t xml:space="preserve"> à côte, </w:t>
      </w:r>
      <w:r w:rsidRPr="00D97037">
        <w:rPr>
          <w:rFonts w:ascii="Cambria" w:hAnsi="Cambria"/>
          <w:lang w:val="fr-FR"/>
        </w:rPr>
        <w:lastRenderedPageBreak/>
        <w:t>en déplaçant quelques autres et ainsi de suite, nous composons une histoire visuelle qui se fraye un chemin au hasard de nos choix.</w:t>
      </w:r>
    </w:p>
    <w:p w:rsidR="001D17D0" w:rsidRPr="00D97037"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rPr>
          <w:rFonts w:ascii="Cambria" w:hAnsi="Cambria"/>
          <w:lang w:val="fr-FR"/>
        </w:rPr>
      </w:pPr>
      <w:r w:rsidRPr="00D97037">
        <w:rPr>
          <w:rFonts w:ascii="Cambria" w:hAnsi="Cambria"/>
          <w:lang w:val="fr-FR"/>
        </w:rPr>
        <w:t>Les références sont de toutes les époques, passant de la préhistoire à l’époque contemporaine. L’accélération de l’histoire de l’art faisant aujourd’hui partie de l’histoire elle-même</w:t>
      </w:r>
      <w:r w:rsidRPr="00721DFE">
        <w:rPr>
          <w:rFonts w:ascii="Cambria" w:hAnsi="Cambria"/>
          <w:lang w:val="fr-FR"/>
        </w:rPr>
        <w:t>. Des œuvres d</w:t>
      </w:r>
      <w:r w:rsidRPr="00D97037">
        <w:rPr>
          <w:rFonts w:ascii="Cambria" w:hAnsi="Cambria"/>
          <w:lang w:val="fr-FR"/>
        </w:rPr>
        <w:t xml:space="preserve">’il y a vingt ans et même moins sont historiographies, </w:t>
      </w:r>
      <w:proofErr w:type="spellStart"/>
      <w:r w:rsidRPr="00D97037">
        <w:rPr>
          <w:rFonts w:ascii="Cambria" w:hAnsi="Cambria"/>
          <w:lang w:val="fr-FR"/>
        </w:rPr>
        <w:t>muséographiées</w:t>
      </w:r>
      <w:proofErr w:type="spellEnd"/>
      <w:r w:rsidRPr="00D97037">
        <w:rPr>
          <w:rFonts w:ascii="Cambria" w:hAnsi="Cambria"/>
          <w:lang w:val="fr-FR"/>
        </w:rPr>
        <w:t xml:space="preserve"> et déjà cristallisées dans le processus de conservation. </w:t>
      </w:r>
    </w:p>
    <w:p w:rsidR="001D17D0" w:rsidRPr="00721DFE" w:rsidRDefault="001D17D0" w:rsidP="001D17D0">
      <w:pPr>
        <w:spacing w:line="360" w:lineRule="auto"/>
        <w:jc w:val="both"/>
        <w:rPr>
          <w:rFonts w:ascii="Cambria" w:hAnsi="Cambria"/>
          <w:lang w:val="fr-FR"/>
        </w:rPr>
      </w:pPr>
      <w:r w:rsidRPr="00D97037">
        <w:rPr>
          <w:rFonts w:ascii="Cambria" w:hAnsi="Cambria"/>
          <w:lang w:val="fr-FR"/>
        </w:rPr>
        <w:t>Pêle-mêle, nous avons accès, avec le bénéfice ou la malédiction de l’</w:t>
      </w:r>
      <w:proofErr w:type="spellStart"/>
      <w:r w:rsidRPr="00D97037">
        <w:rPr>
          <w:rFonts w:ascii="Cambria" w:hAnsi="Cambria"/>
          <w:lang w:val="fr-FR"/>
        </w:rPr>
        <w:t>instantaneité</w:t>
      </w:r>
      <w:proofErr w:type="spellEnd"/>
      <w:r w:rsidRPr="00D97037">
        <w:rPr>
          <w:rFonts w:ascii="Cambria" w:hAnsi="Cambria"/>
          <w:lang w:val="fr-FR"/>
        </w:rPr>
        <w:t>, à des images du Sphynx ou de la vache de Damien Hirst.</w:t>
      </w:r>
    </w:p>
    <w:p w:rsidR="001D17D0" w:rsidRPr="00721DFE" w:rsidRDefault="001D17D0" w:rsidP="001D17D0">
      <w:pPr>
        <w:spacing w:line="360" w:lineRule="auto"/>
        <w:jc w:val="both"/>
        <w:rPr>
          <w:rFonts w:ascii="Cambria" w:hAnsi="Cambria"/>
          <w:lang w:val="fr-FR"/>
        </w:rPr>
      </w:pPr>
      <w:r w:rsidRPr="00721DFE">
        <w:rPr>
          <w:rFonts w:ascii="Cambria" w:hAnsi="Cambria"/>
          <w:lang w:val="fr-FR"/>
        </w:rPr>
        <w:t xml:space="preserve">La chronologie disparait, les mutations matérielles et formelles s’enchainent et se </w:t>
      </w:r>
      <w:proofErr w:type="gramStart"/>
      <w:r w:rsidRPr="00721DFE">
        <w:rPr>
          <w:rFonts w:ascii="Cambria" w:hAnsi="Cambria"/>
          <w:lang w:val="fr-FR"/>
        </w:rPr>
        <w:t>confrontent</w:t>
      </w:r>
      <w:proofErr w:type="gramEnd"/>
      <w:r w:rsidRPr="00721DFE">
        <w:rPr>
          <w:rFonts w:ascii="Cambria" w:hAnsi="Cambria"/>
          <w:lang w:val="fr-FR"/>
        </w:rPr>
        <w:t>. Le temps de chaque peinture dans le bocal devient universel dans son lien avec les autres.</w:t>
      </w:r>
    </w:p>
    <w:p w:rsidR="001D17D0" w:rsidRPr="00721DFE" w:rsidRDefault="001D17D0" w:rsidP="001D17D0">
      <w:pPr>
        <w:spacing w:line="360" w:lineRule="auto"/>
        <w:jc w:val="both"/>
        <w:rPr>
          <w:rFonts w:ascii="Cambria" w:hAnsi="Cambria"/>
          <w:lang w:val="fr-FR"/>
        </w:rPr>
      </w:pPr>
    </w:p>
    <w:p w:rsidR="001D17D0" w:rsidRPr="001D17D0" w:rsidRDefault="001D17D0" w:rsidP="001D17D0">
      <w:pPr>
        <w:spacing w:line="360" w:lineRule="auto"/>
        <w:jc w:val="both"/>
        <w:rPr>
          <w:rFonts w:ascii="Cambria" w:hAnsi="Cambria"/>
          <w:lang w:val="fr-FR"/>
        </w:rPr>
      </w:pPr>
      <w:r w:rsidRPr="00721DFE">
        <w:rPr>
          <w:rFonts w:ascii="Cambria" w:hAnsi="Cambria"/>
          <w:lang w:val="fr-FR"/>
        </w:rPr>
        <w:t xml:space="preserve">Dans ce dédale, un bocal vide attend l’apparition d’une œuvre virtuelle qui n’a pas pu se concrétiser, ou présente l’absence de celle qui n’a pas encore vu le jour. </w:t>
      </w:r>
    </w:p>
    <w:p w:rsidR="001D17D0" w:rsidRPr="001D17D0"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outlineLvl w:val="0"/>
        <w:rPr>
          <w:rFonts w:ascii="Cambria" w:hAnsi="Cambria"/>
          <w:lang w:val="fr-FR"/>
        </w:rPr>
      </w:pPr>
      <w:r w:rsidRPr="00721DFE">
        <w:rPr>
          <w:rFonts w:ascii="Cambria" w:hAnsi="Cambria"/>
          <w:lang w:val="fr-FR"/>
        </w:rPr>
        <w:t>Le tout composé d’un couvercle vissé sur un cylindre de verre.</w:t>
      </w:r>
    </w:p>
    <w:p w:rsidR="001D17D0" w:rsidRPr="00721DFE" w:rsidRDefault="001D17D0" w:rsidP="001D17D0">
      <w:pPr>
        <w:spacing w:line="360" w:lineRule="auto"/>
        <w:jc w:val="both"/>
        <w:rPr>
          <w:rFonts w:ascii="Cambria" w:hAnsi="Cambria"/>
          <w:lang w:val="fr-FR"/>
        </w:rPr>
      </w:pPr>
    </w:p>
    <w:p w:rsidR="001D17D0" w:rsidRPr="00721DFE" w:rsidRDefault="001D17D0" w:rsidP="001D17D0">
      <w:pPr>
        <w:spacing w:line="360" w:lineRule="auto"/>
        <w:jc w:val="both"/>
        <w:rPr>
          <w:rFonts w:ascii="Cambria" w:hAnsi="Cambria"/>
          <w:lang w:val="fr-FR"/>
        </w:rPr>
      </w:pPr>
    </w:p>
    <w:p w:rsidR="001D17D0" w:rsidRPr="00721DFE" w:rsidRDefault="001D17D0" w:rsidP="001D17D0">
      <w:pPr>
        <w:spacing w:line="360" w:lineRule="auto"/>
        <w:rPr>
          <w:rFonts w:ascii="Cambria" w:hAnsi="Cambria"/>
          <w:lang w:val="fr-FR"/>
        </w:rPr>
      </w:pPr>
    </w:p>
    <w:p w:rsidR="001D17D0" w:rsidRPr="00721DFE" w:rsidRDefault="001D17D0" w:rsidP="001D17D0">
      <w:pPr>
        <w:spacing w:line="360" w:lineRule="auto"/>
        <w:rPr>
          <w:rFonts w:ascii="Cambria" w:hAnsi="Cambria"/>
          <w:lang w:val="fr-FR"/>
        </w:rPr>
      </w:pPr>
    </w:p>
    <w:p w:rsidR="001D17D0" w:rsidRPr="001D17D0" w:rsidRDefault="001D17D0" w:rsidP="001D17D0">
      <w:pPr>
        <w:spacing w:line="360" w:lineRule="auto"/>
        <w:ind w:left="4320"/>
        <w:rPr>
          <w:rFonts w:ascii="Cambria" w:hAnsi="Cambria"/>
          <w:lang w:val="fr-FR"/>
        </w:rPr>
      </w:pPr>
      <w:r w:rsidRPr="001D17D0">
        <w:rPr>
          <w:rFonts w:ascii="Cambria" w:hAnsi="Cambria"/>
          <w:lang w:val="fr-FR"/>
        </w:rPr>
        <w:t xml:space="preserve">Serge </w:t>
      </w:r>
      <w:proofErr w:type="spellStart"/>
      <w:r w:rsidRPr="001D17D0">
        <w:rPr>
          <w:rFonts w:ascii="Cambria" w:hAnsi="Cambria"/>
          <w:lang w:val="fr-FR"/>
        </w:rPr>
        <w:t>Clement</w:t>
      </w:r>
      <w:proofErr w:type="spellEnd"/>
      <w:r w:rsidRPr="001D17D0">
        <w:rPr>
          <w:rFonts w:ascii="Cambria" w:hAnsi="Cambria"/>
          <w:lang w:val="fr-FR"/>
        </w:rPr>
        <w:t xml:space="preserve"> et Marina </w:t>
      </w:r>
      <w:proofErr w:type="spellStart"/>
      <w:r w:rsidRPr="001D17D0">
        <w:rPr>
          <w:rFonts w:ascii="Cambria" w:hAnsi="Cambria"/>
          <w:lang w:val="fr-FR"/>
        </w:rPr>
        <w:t>Kamena</w:t>
      </w:r>
      <w:proofErr w:type="spellEnd"/>
    </w:p>
    <w:p w:rsidR="001D17D0" w:rsidRPr="001D17D0" w:rsidRDefault="001D17D0" w:rsidP="001D17D0">
      <w:pPr>
        <w:rPr>
          <w:lang w:val="fr-FR"/>
        </w:rPr>
      </w:pPr>
      <w:r w:rsidRPr="001D17D0">
        <w:rPr>
          <w:lang w:val="fr-FR"/>
        </w:rPr>
        <w:tab/>
      </w:r>
      <w:r w:rsidRPr="001D17D0">
        <w:rPr>
          <w:lang w:val="fr-FR"/>
        </w:rPr>
        <w:tab/>
      </w:r>
      <w:r w:rsidRPr="001D17D0">
        <w:rPr>
          <w:lang w:val="fr-FR"/>
        </w:rPr>
        <w:tab/>
      </w:r>
      <w:r w:rsidRPr="001D17D0">
        <w:rPr>
          <w:lang w:val="fr-FR"/>
        </w:rPr>
        <w:tab/>
      </w:r>
      <w:r w:rsidRPr="001D17D0">
        <w:rPr>
          <w:lang w:val="fr-FR"/>
        </w:rPr>
        <w:tab/>
      </w:r>
      <w:r w:rsidRPr="001D17D0">
        <w:rPr>
          <w:lang w:val="fr-FR"/>
        </w:rPr>
        <w:tab/>
      </w:r>
      <w:r w:rsidRPr="001D17D0">
        <w:rPr>
          <w:lang w:val="fr-FR"/>
        </w:rPr>
        <w:tab/>
      </w:r>
      <w:proofErr w:type="spellStart"/>
      <w:r w:rsidRPr="001D17D0">
        <w:rPr>
          <w:lang w:val="fr-FR"/>
        </w:rPr>
        <w:t>Miremy</w:t>
      </w:r>
      <w:proofErr w:type="spellEnd"/>
      <w:r w:rsidRPr="001D17D0">
        <w:rPr>
          <w:lang w:val="fr-FR"/>
        </w:rPr>
        <w:t>, 2010</w:t>
      </w:r>
    </w:p>
    <w:p w:rsidR="00000000" w:rsidRPr="001D17D0" w:rsidRDefault="00000000">
      <w:pPr>
        <w:rPr>
          <w:lang w:val="fr-FR"/>
        </w:rPr>
      </w:pPr>
    </w:p>
    <w:sectPr w:rsidR="00F35400" w:rsidRPr="001D17D0" w:rsidSect="007167DA">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7D0"/>
    <w:rsid w:val="000C52EA"/>
    <w:rsid w:val="001D17D0"/>
    <w:rsid w:val="00205AE2"/>
    <w:rsid w:val="004C631B"/>
    <w:rsid w:val="00AA1EFF"/>
    <w:rsid w:val="00FE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4DE075"/>
  <w15:chartTrackingRefBased/>
  <w15:docId w15:val="{38869657-63B8-2348-A66B-2DA7DF18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7D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745</Words>
  <Characters>4248</Characters>
  <Application>Microsoft Office Word</Application>
  <DocSecurity>0</DocSecurity>
  <Lines>35</Lines>
  <Paragraphs>9</Paragraphs>
  <ScaleCrop>false</ScaleCrop>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Kamenarovic</dc:creator>
  <cp:keywords/>
  <dc:description/>
  <cp:lastModifiedBy>Marina Kamenarovic</cp:lastModifiedBy>
  <cp:revision>1</cp:revision>
  <dcterms:created xsi:type="dcterms:W3CDTF">2024-12-30T21:35:00Z</dcterms:created>
  <dcterms:modified xsi:type="dcterms:W3CDTF">2024-12-30T21:36:00Z</dcterms:modified>
</cp:coreProperties>
</file>